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10" w:type="dxa"/>
          <w:right w:w="10" w:type="dxa"/>
        </w:tblCellMar>
        <w:tblLook w:val="04A0" w:firstRow="1" w:lastRow="0" w:firstColumn="1" w:lastColumn="0" w:noHBand="0" w:noVBand="1"/>
      </w:tblPr>
      <w:tblGrid>
        <w:gridCol w:w="2466"/>
        <w:gridCol w:w="7994"/>
      </w:tblGrid>
      <w:tr w:rsidR="00AF4554">
        <w:tc>
          <w:tcPr>
            <w:tcW w:w="2600" w:type="dxa"/>
          </w:tcPr>
          <w:p w:rsidR="00AF4554" w:rsidRDefault="00A3045A">
            <w:bookmarkStart w:id="0" w:name="_GoBack"/>
            <w:bookmarkEnd w:id="0"/>
            <w:r>
              <w:rPr>
                <w:noProof/>
              </w:rPr>
              <w:drawing>
                <wp:inline distT="0" distB="0" distL="0" distR="0">
                  <wp:extent cx="1238250" cy="1552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1552575"/>
                          </a:xfrm>
                          <a:prstGeom prst="rect">
                            <a:avLst/>
                          </a:prstGeom>
                          <a:noFill/>
                          <a:ln>
                            <a:noFill/>
                          </a:ln>
                        </pic:spPr>
                      </pic:pic>
                    </a:graphicData>
                  </a:graphic>
                </wp:inline>
              </w:drawing>
            </w:r>
          </w:p>
        </w:tc>
        <w:tc>
          <w:tcPr>
            <w:tcW w:w="9640" w:type="dxa"/>
          </w:tcPr>
          <w:p w:rsidR="00AF4554" w:rsidRDefault="00A3045A">
            <w:pPr>
              <w:spacing w:after="20"/>
            </w:pPr>
            <w:proofErr w:type="spellStart"/>
            <w:r>
              <w:rPr>
                <w:rStyle w:val="Style1"/>
              </w:rPr>
              <w:t>Marek</w:t>
            </w:r>
            <w:proofErr w:type="spellEnd"/>
            <w:r>
              <w:rPr>
                <w:rStyle w:val="Style1"/>
              </w:rPr>
              <w:t xml:space="preserve"> P. </w:t>
            </w:r>
            <w:proofErr w:type="spellStart"/>
            <w:r>
              <w:rPr>
                <w:rStyle w:val="Style1"/>
              </w:rPr>
              <w:t>Bute</w:t>
            </w:r>
            <w:proofErr w:type="spellEnd"/>
          </w:p>
          <w:p w:rsidR="00AF4554" w:rsidRDefault="00A3045A">
            <w:pPr>
              <w:spacing w:after="20"/>
            </w:pPr>
            <w:r>
              <w:rPr>
                <w:rStyle w:val="Style2"/>
              </w:rPr>
              <w:t>Associate | Las Vegas</w:t>
            </w:r>
          </w:p>
          <w:p w:rsidR="00AF4554" w:rsidRDefault="00A3045A">
            <w:pPr>
              <w:spacing w:after="15"/>
            </w:pPr>
            <w:r>
              <w:rPr>
                <w:rStyle w:val="Style3"/>
              </w:rPr>
              <w:t>Tel. 702.784.5266</w:t>
            </w:r>
          </w:p>
          <w:p w:rsidR="00AF4554" w:rsidRDefault="00A3045A">
            <w:pPr>
              <w:spacing w:after="15"/>
            </w:pPr>
            <w:r>
              <w:rPr>
                <w:rStyle w:val="Style3"/>
              </w:rPr>
              <w:t>mbute@swlaw.com</w:t>
            </w:r>
          </w:p>
        </w:tc>
      </w:tr>
    </w:tbl>
    <w:p w:rsidR="00AF4554" w:rsidRDefault="00A3045A">
      <w:pPr>
        <w:pStyle w:val="Heading2"/>
      </w:pPr>
      <w:bookmarkStart w:id="1" w:name="_Toc252634155"/>
      <w:r>
        <w:t>Main Bio</w:t>
      </w:r>
      <w:bookmarkEnd w:id="1"/>
    </w:p>
    <w:p w:rsidR="00AF4554" w:rsidRDefault="00A3045A">
      <w:proofErr w:type="spellStart"/>
      <w:r>
        <w:t>Marek</w:t>
      </w:r>
      <w:proofErr w:type="spellEnd"/>
      <w:r>
        <w:t xml:space="preserve"> </w:t>
      </w:r>
      <w:proofErr w:type="spellStart"/>
      <w:r>
        <w:t>Bute's</w:t>
      </w:r>
      <w:proofErr w:type="spellEnd"/>
      <w:r>
        <w:t xml:space="preserve"> practice is concentrated in business and commercial litigation, with an emphasis on </w:t>
      </w:r>
      <w:r>
        <w:t>contract disputes and claims relating to construction, lien law, arts and entertainment, and hospitality. His experience also extends to disputes involving copyright infringement, creditors' rights, insurance coverage and defense, bad faith claims, commerc</w:t>
      </w:r>
      <w:r>
        <w:t xml:space="preserve">ial lease disputes, receiverships, deficiencies, and other actions seeking damages, extraordinary relief, injunctive relief, declaratory relief and other remedies in state and federal litigation, arbitration, mediation and other forms of alternate dispute </w:t>
      </w:r>
      <w:r>
        <w:t xml:space="preserve">resolution. </w:t>
      </w:r>
      <w:proofErr w:type="spellStart"/>
      <w:r>
        <w:t>Marek</w:t>
      </w:r>
      <w:proofErr w:type="spellEnd"/>
      <w:r>
        <w:t xml:space="preserve"> has represented a range of clients that includes recording artists, performance rights organizations, hotels, casinos, commercial and residential owners, developers, construction managers, general contractors, subcontractors, suppliers, f</w:t>
      </w:r>
      <w:r>
        <w:t>inancial institutions and insurance companies in multimillion dollar commercial litigation.</w:t>
      </w:r>
    </w:p>
    <w:p w:rsidR="00AF4554" w:rsidRDefault="00A3045A">
      <w:pPr>
        <w:pStyle w:val="Heading2"/>
      </w:pPr>
      <w:bookmarkStart w:id="2" w:name="_Toc252634156"/>
      <w:r>
        <w:t>Education</w:t>
      </w:r>
      <w:bookmarkEnd w:id="2"/>
    </w:p>
    <w:p w:rsidR="00AF4554" w:rsidRDefault="00A3045A">
      <w:pPr>
        <w:numPr>
          <w:ilvl w:val="0"/>
          <w:numId w:val="3"/>
        </w:numPr>
      </w:pPr>
      <w:r>
        <w:t>Roger Williams University School of Law (J.D., magna cum laude, 2005)</w:t>
      </w:r>
    </w:p>
    <w:p w:rsidR="00AF4554" w:rsidRDefault="00A3045A">
      <w:pPr>
        <w:numPr>
          <w:ilvl w:val="1"/>
          <w:numId w:val="3"/>
        </w:numPr>
      </w:pPr>
      <w:r>
        <w:t xml:space="preserve">Ralph R. </w:t>
      </w:r>
      <w:proofErr w:type="spellStart"/>
      <w:r>
        <w:t>Papitto</w:t>
      </w:r>
      <w:proofErr w:type="spellEnd"/>
      <w:r>
        <w:t xml:space="preserve"> Scholar</w:t>
      </w:r>
    </w:p>
    <w:p w:rsidR="00AF4554" w:rsidRDefault="00A3045A">
      <w:pPr>
        <w:numPr>
          <w:ilvl w:val="1"/>
          <w:numId w:val="3"/>
        </w:numPr>
      </w:pPr>
      <w:r>
        <w:t xml:space="preserve">CALI Award Winner - Criminal Law, Family Law, Judicial </w:t>
      </w:r>
      <w:r>
        <w:t>Process &amp; Ethics, Legal Methods I &amp; II, and Torts II</w:t>
      </w:r>
    </w:p>
    <w:p w:rsidR="00AF4554" w:rsidRDefault="00A3045A">
      <w:pPr>
        <w:numPr>
          <w:ilvl w:val="0"/>
          <w:numId w:val="3"/>
        </w:numPr>
      </w:pPr>
      <w:r>
        <w:t>Pepperdine University (B.A., Arts in Advertising, Minor in Spanish, magna cum laude, 2000)</w:t>
      </w:r>
    </w:p>
    <w:p w:rsidR="00AF4554" w:rsidRDefault="00A3045A">
      <w:pPr>
        <w:numPr>
          <w:ilvl w:val="1"/>
          <w:numId w:val="3"/>
        </w:numPr>
      </w:pPr>
      <w:r>
        <w:t>Dean's List</w:t>
      </w:r>
    </w:p>
    <w:p w:rsidR="00AF4554" w:rsidRDefault="00A3045A">
      <w:pPr>
        <w:numPr>
          <w:ilvl w:val="1"/>
          <w:numId w:val="3"/>
        </w:numPr>
      </w:pPr>
      <w:r>
        <w:t>Golden Key Honor Society</w:t>
      </w:r>
    </w:p>
    <w:p w:rsidR="00AF4554" w:rsidRDefault="00A3045A">
      <w:pPr>
        <w:numPr>
          <w:ilvl w:val="1"/>
          <w:numId w:val="3"/>
        </w:numPr>
      </w:pPr>
      <w:r>
        <w:t xml:space="preserve">Phi </w:t>
      </w:r>
      <w:proofErr w:type="spellStart"/>
      <w:r>
        <w:t>Eta</w:t>
      </w:r>
      <w:proofErr w:type="spellEnd"/>
      <w:r>
        <w:t xml:space="preserve"> Sigma Honor Society</w:t>
      </w:r>
    </w:p>
    <w:p w:rsidR="00AF4554" w:rsidRDefault="00A3045A">
      <w:pPr>
        <w:numPr>
          <w:ilvl w:val="1"/>
          <w:numId w:val="3"/>
        </w:numPr>
      </w:pPr>
      <w:r>
        <w:t>Sigma Nu Fraternity</w:t>
      </w:r>
    </w:p>
    <w:p w:rsidR="00AF4554" w:rsidRDefault="00A3045A">
      <w:pPr>
        <w:pStyle w:val="Heading2"/>
      </w:pPr>
      <w:bookmarkStart w:id="3" w:name="_Toc252634157"/>
      <w:r>
        <w:t>Court Admissions</w:t>
      </w:r>
      <w:bookmarkEnd w:id="3"/>
    </w:p>
    <w:p w:rsidR="00AF4554" w:rsidRDefault="00A3045A">
      <w:pPr>
        <w:numPr>
          <w:ilvl w:val="0"/>
          <w:numId w:val="3"/>
        </w:numPr>
      </w:pPr>
      <w:r>
        <w:t>Supreme Co</w:t>
      </w:r>
      <w:r>
        <w:t>urt of Nevada</w:t>
      </w:r>
    </w:p>
    <w:p w:rsidR="00AF4554" w:rsidRDefault="00A3045A">
      <w:pPr>
        <w:numPr>
          <w:ilvl w:val="0"/>
          <w:numId w:val="3"/>
        </w:numPr>
      </w:pPr>
      <w:r>
        <w:t>Supreme Court of California</w:t>
      </w:r>
    </w:p>
    <w:p w:rsidR="00AF4554" w:rsidRDefault="00A3045A">
      <w:pPr>
        <w:numPr>
          <w:ilvl w:val="0"/>
          <w:numId w:val="3"/>
        </w:numPr>
      </w:pPr>
      <w:r>
        <w:t>United States District Court, District of Nevada</w:t>
      </w:r>
    </w:p>
    <w:p w:rsidR="00AF4554" w:rsidRDefault="00A3045A">
      <w:pPr>
        <w:numPr>
          <w:ilvl w:val="0"/>
          <w:numId w:val="3"/>
        </w:numPr>
      </w:pPr>
      <w:r>
        <w:t>United States Court of Appeals, Ninth Circuit</w:t>
      </w:r>
    </w:p>
    <w:p w:rsidR="00AF4554" w:rsidRDefault="00A3045A">
      <w:pPr>
        <w:pStyle w:val="Heading2"/>
      </w:pPr>
      <w:bookmarkStart w:id="4" w:name="_Toc252634158"/>
      <w:r>
        <w:lastRenderedPageBreak/>
        <w:t>Professional Memberships &amp; Activities</w:t>
      </w:r>
      <w:bookmarkEnd w:id="4"/>
    </w:p>
    <w:p w:rsidR="00AF4554" w:rsidRDefault="00A3045A">
      <w:pPr>
        <w:numPr>
          <w:ilvl w:val="0"/>
          <w:numId w:val="3"/>
        </w:numPr>
      </w:pPr>
      <w:r>
        <w:t>State Bar of Nevada</w:t>
      </w:r>
    </w:p>
    <w:p w:rsidR="00AF4554" w:rsidRDefault="00A3045A">
      <w:pPr>
        <w:numPr>
          <w:ilvl w:val="1"/>
          <w:numId w:val="3"/>
        </w:numPr>
      </w:pPr>
      <w:r>
        <w:t>Southern Nevada Disciplinary Board, Member (2010-present)</w:t>
      </w:r>
    </w:p>
    <w:p w:rsidR="00AF4554" w:rsidRDefault="00A3045A">
      <w:pPr>
        <w:numPr>
          <w:ilvl w:val="1"/>
          <w:numId w:val="3"/>
        </w:numPr>
      </w:pPr>
      <w:r>
        <w:t>Sta</w:t>
      </w:r>
      <w:r>
        <w:t>nding Lawyer Advertising Committee for the Southern District, Member (2009-present)</w:t>
      </w:r>
    </w:p>
    <w:p w:rsidR="00AF4554" w:rsidRDefault="00A3045A">
      <w:pPr>
        <w:numPr>
          <w:ilvl w:val="0"/>
          <w:numId w:val="3"/>
        </w:numPr>
      </w:pPr>
      <w:r>
        <w:t>State Bar of California</w:t>
      </w:r>
    </w:p>
    <w:p w:rsidR="00AF4554" w:rsidRDefault="00A3045A">
      <w:pPr>
        <w:numPr>
          <w:ilvl w:val="0"/>
          <w:numId w:val="3"/>
        </w:numPr>
      </w:pPr>
      <w:r>
        <w:t>Clark County Bar Association</w:t>
      </w:r>
    </w:p>
    <w:p w:rsidR="00AF4554" w:rsidRDefault="00A3045A">
      <w:pPr>
        <w:numPr>
          <w:ilvl w:val="0"/>
          <w:numId w:val="3"/>
        </w:numPr>
      </w:pPr>
      <w:r>
        <w:t>American Bar Association</w:t>
      </w:r>
    </w:p>
    <w:p w:rsidR="00AF4554" w:rsidRDefault="00A3045A">
      <w:pPr>
        <w:pStyle w:val="Heading2"/>
      </w:pPr>
      <w:bookmarkStart w:id="5" w:name="_Toc252634159"/>
      <w:r>
        <w:t>Representative Presentations &amp; Publications</w:t>
      </w:r>
      <w:bookmarkEnd w:id="5"/>
    </w:p>
    <w:p w:rsidR="00AF4554" w:rsidRDefault="00A3045A">
      <w:pPr>
        <w:numPr>
          <w:ilvl w:val="0"/>
          <w:numId w:val="3"/>
        </w:numPr>
      </w:pPr>
      <w:r>
        <w:t xml:space="preserve">Nevada Mechanics Lien Law 2010, Co-Presenter, </w:t>
      </w:r>
      <w:proofErr w:type="spellStart"/>
      <w:r>
        <w:t>Lorm</w:t>
      </w:r>
      <w:r>
        <w:t>an</w:t>
      </w:r>
      <w:proofErr w:type="spellEnd"/>
      <w:r>
        <w:t xml:space="preserve"> Education Services (June 25, 2010)</w:t>
      </w:r>
    </w:p>
    <w:p w:rsidR="00AF4554" w:rsidRDefault="00A3045A">
      <w:pPr>
        <w:numPr>
          <w:ilvl w:val="0"/>
          <w:numId w:val="3"/>
        </w:numPr>
      </w:pPr>
      <w:r>
        <w:t>Diversity in the Legal Profession, Panel Member, William S. Boyd School of Law (February 5, 2009)</w:t>
      </w:r>
    </w:p>
    <w:p w:rsidR="00AF4554" w:rsidRDefault="00A3045A">
      <w:pPr>
        <w:numPr>
          <w:ilvl w:val="0"/>
          <w:numId w:val="3"/>
        </w:numPr>
      </w:pPr>
      <w:r>
        <w:t>Nevada May Enforce Pay-If-Paid Clauses If Carefully Drafted, Co-Author, Snell &amp; Wilmer Under Construction (March 2007)</w:t>
      </w:r>
    </w:p>
    <w:p w:rsidR="00AF4554" w:rsidRDefault="00A3045A">
      <w:pPr>
        <w:pStyle w:val="Heading2"/>
      </w:pPr>
      <w:bookmarkStart w:id="6" w:name="_Toc252634160"/>
      <w:r>
        <w:t>P</w:t>
      </w:r>
      <w:r>
        <w:t>rofessional Recognition &amp; Awards</w:t>
      </w:r>
      <w:bookmarkEnd w:id="6"/>
    </w:p>
    <w:p w:rsidR="00AF4554" w:rsidRDefault="00A3045A">
      <w:pPr>
        <w:numPr>
          <w:ilvl w:val="0"/>
          <w:numId w:val="3"/>
        </w:numPr>
      </w:pPr>
      <w:r>
        <w:t>50 Hour Club, Legal Aid Center of Southern Nevada (2008, 2011, 2012)</w:t>
      </w:r>
    </w:p>
    <w:p w:rsidR="00AF4554" w:rsidRDefault="00A3045A">
      <w:pPr>
        <w:numPr>
          <w:ilvl w:val="0"/>
          <w:numId w:val="3"/>
        </w:numPr>
      </w:pPr>
      <w:r>
        <w:t>Snell &amp; Wilmer Community Leadership Award (2011)</w:t>
      </w:r>
    </w:p>
    <w:p w:rsidR="00AF4554" w:rsidRDefault="00A3045A">
      <w:pPr>
        <w:numPr>
          <w:ilvl w:val="0"/>
          <w:numId w:val="3"/>
        </w:numPr>
      </w:pPr>
      <w:r>
        <w:t>Pro Bono Project 100 Hour Club, Legal Aid Center of Southern Nevada (2009-2010)</w:t>
      </w:r>
    </w:p>
    <w:p w:rsidR="00AF4554" w:rsidRDefault="00A3045A">
      <w:pPr>
        <w:pStyle w:val="Heading2"/>
      </w:pPr>
      <w:bookmarkStart w:id="7" w:name="_Toc252634161"/>
      <w:r>
        <w:t>Community Involvement</w:t>
      </w:r>
      <w:bookmarkEnd w:id="7"/>
    </w:p>
    <w:p w:rsidR="00AF4554" w:rsidRDefault="00A3045A">
      <w:pPr>
        <w:numPr>
          <w:ilvl w:val="0"/>
          <w:numId w:val="3"/>
        </w:numPr>
      </w:pPr>
      <w:r>
        <w:t>AFAN (Aid for Aids of Nevada), Board of Trustees</w:t>
      </w:r>
    </w:p>
    <w:p w:rsidR="00AF4554" w:rsidRDefault="00A3045A">
      <w:pPr>
        <w:numPr>
          <w:ilvl w:val="1"/>
          <w:numId w:val="3"/>
        </w:numPr>
      </w:pPr>
      <w:r>
        <w:t>Trustee (2010-present)</w:t>
      </w:r>
    </w:p>
    <w:p w:rsidR="00AF4554" w:rsidRDefault="00A3045A">
      <w:pPr>
        <w:numPr>
          <w:ilvl w:val="1"/>
          <w:numId w:val="3"/>
        </w:numPr>
      </w:pPr>
      <w:r>
        <w:t>Secretary (2011-2012)</w:t>
      </w:r>
    </w:p>
    <w:p w:rsidR="00AF4554" w:rsidRDefault="00A3045A">
      <w:pPr>
        <w:numPr>
          <w:ilvl w:val="1"/>
          <w:numId w:val="3"/>
        </w:numPr>
      </w:pPr>
      <w:r>
        <w:t>President (2012-present)</w:t>
      </w:r>
    </w:p>
    <w:p w:rsidR="00AF4554" w:rsidRDefault="00A3045A">
      <w:pPr>
        <w:numPr>
          <w:ilvl w:val="0"/>
          <w:numId w:val="3"/>
        </w:numPr>
      </w:pPr>
      <w:r>
        <w:t>ComeOut2Vegas Committee (2012-present)</w:t>
      </w:r>
    </w:p>
    <w:p w:rsidR="00AF4554" w:rsidRDefault="00A3045A">
      <w:pPr>
        <w:numPr>
          <w:ilvl w:val="0"/>
          <w:numId w:val="3"/>
        </w:numPr>
      </w:pPr>
      <w:r>
        <w:t>Communities in Schools</w:t>
      </w:r>
    </w:p>
    <w:p w:rsidR="00AF4554" w:rsidRDefault="00A3045A">
      <w:pPr>
        <w:numPr>
          <w:ilvl w:val="1"/>
          <w:numId w:val="3"/>
        </w:numPr>
      </w:pPr>
      <w:r>
        <w:t>The Community, Founding Member (2013-present)</w:t>
      </w:r>
    </w:p>
    <w:p w:rsidR="00AF4554" w:rsidRDefault="00A3045A">
      <w:pPr>
        <w:numPr>
          <w:ilvl w:val="0"/>
          <w:numId w:val="3"/>
        </w:numPr>
      </w:pPr>
      <w:r>
        <w:t>Human Rights Campaign</w:t>
      </w:r>
    </w:p>
    <w:p w:rsidR="00AF4554" w:rsidRDefault="00A3045A">
      <w:pPr>
        <w:numPr>
          <w:ilvl w:val="1"/>
          <w:numId w:val="3"/>
        </w:numPr>
      </w:pPr>
      <w:r>
        <w:t>Federal</w:t>
      </w:r>
      <w:r>
        <w:t xml:space="preserve"> Club Member, Congressional Circle Plus</w:t>
      </w:r>
    </w:p>
    <w:p w:rsidR="00AF4554" w:rsidRDefault="00A3045A">
      <w:pPr>
        <w:numPr>
          <w:ilvl w:val="0"/>
          <w:numId w:val="3"/>
        </w:numPr>
      </w:pPr>
      <w:r>
        <w:t>Legal Aid Center of Southern Nevada</w:t>
      </w:r>
    </w:p>
    <w:p w:rsidR="00AF4554" w:rsidRDefault="00A3045A">
      <w:pPr>
        <w:numPr>
          <w:ilvl w:val="1"/>
          <w:numId w:val="3"/>
        </w:numPr>
      </w:pPr>
      <w:r>
        <w:lastRenderedPageBreak/>
        <w:t>Pro Bono Volunteer Attorney (2007-2013)</w:t>
      </w:r>
    </w:p>
    <w:p w:rsidR="00AF4554" w:rsidRDefault="00A3045A">
      <w:pPr>
        <w:numPr>
          <w:ilvl w:val="0"/>
          <w:numId w:val="3"/>
        </w:numPr>
      </w:pPr>
      <w:r>
        <w:t>Snell &amp; Wilmer Community Involvement Committee</w:t>
      </w:r>
    </w:p>
    <w:p w:rsidR="00AF4554" w:rsidRDefault="00A3045A">
      <w:pPr>
        <w:numPr>
          <w:ilvl w:val="1"/>
          <w:numId w:val="3"/>
        </w:numPr>
      </w:pPr>
      <w:r>
        <w:t>Co-Chair (2009-2011)</w:t>
      </w:r>
    </w:p>
    <w:p w:rsidR="00AF4554" w:rsidRDefault="00A3045A">
      <w:pPr>
        <w:numPr>
          <w:ilvl w:val="1"/>
          <w:numId w:val="3"/>
        </w:numPr>
      </w:pPr>
      <w:r>
        <w:t>Chair (2012-present)</w:t>
      </w:r>
    </w:p>
    <w:p w:rsidR="00AF4554" w:rsidRDefault="00A3045A">
      <w:pPr>
        <w:pStyle w:val="Heading2"/>
      </w:pPr>
      <w:bookmarkStart w:id="8" w:name="_Toc252634162"/>
      <w:r>
        <w:t>Other Professional Experience</w:t>
      </w:r>
      <w:bookmarkEnd w:id="8"/>
    </w:p>
    <w:p w:rsidR="00AF4554" w:rsidRDefault="00A3045A">
      <w:pPr>
        <w:numPr>
          <w:ilvl w:val="0"/>
          <w:numId w:val="3"/>
        </w:numPr>
      </w:pPr>
      <w:r>
        <w:t>Eighth Judicial Distr</w:t>
      </w:r>
      <w:r>
        <w:t>ict Court, Clark County, Nevada, Law Clerk to The Honorable Lee A. Gates (2005-2006)</w:t>
      </w:r>
    </w:p>
    <w:p w:rsidR="00AF4554" w:rsidRDefault="00A3045A">
      <w:pPr>
        <w:numPr>
          <w:ilvl w:val="0"/>
          <w:numId w:val="3"/>
        </w:numPr>
      </w:pPr>
      <w:r>
        <w:t>Roger Williams University Criminal Defense Clinic, Student Attorney (2005)</w:t>
      </w:r>
    </w:p>
    <w:p w:rsidR="00AF4554" w:rsidRDefault="00A3045A">
      <w:pPr>
        <w:numPr>
          <w:ilvl w:val="0"/>
          <w:numId w:val="3"/>
        </w:numPr>
      </w:pPr>
      <w:r>
        <w:t>United States District Court, District of Rhode Island, Extern to The Honorable William E. Smith</w:t>
      </w:r>
      <w:r>
        <w:t xml:space="preserve"> (2004)</w:t>
      </w:r>
    </w:p>
    <w:p w:rsidR="00AF4554" w:rsidRDefault="00A3045A">
      <w:pPr>
        <w:numPr>
          <w:ilvl w:val="0"/>
          <w:numId w:val="3"/>
        </w:numPr>
      </w:pPr>
      <w:r>
        <w:t>Mann &amp; Mitchell, Summer Associate (2004)</w:t>
      </w:r>
    </w:p>
    <w:p w:rsidR="00AF4554" w:rsidRDefault="00A3045A">
      <w:pPr>
        <w:numPr>
          <w:ilvl w:val="0"/>
          <w:numId w:val="3"/>
        </w:numPr>
      </w:pPr>
      <w:r>
        <w:t>One Harcourt Building, London, England, Trial Advocacy Pupilage (Summer 2003)</w:t>
      </w:r>
    </w:p>
    <w:sectPr w:rsidR="00AF4554">
      <w:headerReference w:type="even" r:id="rId8"/>
      <w:headerReference w:type="default" r:id="rId9"/>
      <w:footerReference w:type="even" r:id="rId10"/>
      <w:footerReference w:type="default" r:id="rId11"/>
      <w:headerReference w:type="first" r:id="rId12"/>
      <w:footerReference w:type="first" r:id="rId13"/>
      <w:pgSz w:w="12240" w:h="15840"/>
      <w:pgMar w:top="720" w:right="900" w:bottom="0"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45A" w:rsidRDefault="00A3045A">
      <w:pPr>
        <w:spacing w:after="0" w:line="240" w:lineRule="auto"/>
      </w:pPr>
      <w:r>
        <w:separator/>
      </w:r>
    </w:p>
  </w:endnote>
  <w:endnote w:type="continuationSeparator" w:id="0">
    <w:p w:rsidR="00A3045A" w:rsidRDefault="00A30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54" w:rsidRDefault="00AF45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0" w:type="dxa"/>
        <w:right w:w="10" w:type="dxa"/>
      </w:tblCellMar>
      <w:tblLook w:val="04A0" w:firstRow="1" w:lastRow="0" w:firstColumn="1" w:lastColumn="0" w:noHBand="0" w:noVBand="1"/>
    </w:tblPr>
    <w:tblGrid>
      <w:gridCol w:w="10460"/>
    </w:tblGrid>
    <w:tr w:rsidR="00AF4554">
      <w:tc>
        <w:tcPr>
          <w:tcW w:w="10640" w:type="dxa"/>
        </w:tcPr>
        <w:p w:rsidR="00AF4554" w:rsidRDefault="00AF4554"/>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54" w:rsidRDefault="00AF45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45A" w:rsidRDefault="00A3045A">
      <w:pPr>
        <w:spacing w:after="0" w:line="240" w:lineRule="auto"/>
      </w:pPr>
      <w:r>
        <w:separator/>
      </w:r>
    </w:p>
  </w:footnote>
  <w:footnote w:type="continuationSeparator" w:id="0">
    <w:p w:rsidR="00A3045A" w:rsidRDefault="00A304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54" w:rsidRDefault="00AF45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0" w:type="dxa"/>
        <w:bottom w:w="20" w:type="dxa"/>
        <w:right w:w="10" w:type="dxa"/>
      </w:tblCellMar>
      <w:tblLook w:val="04A0" w:firstRow="1" w:lastRow="0" w:firstColumn="1" w:lastColumn="0" w:noHBand="0" w:noVBand="1"/>
    </w:tblPr>
    <w:tblGrid>
      <w:gridCol w:w="8083"/>
      <w:gridCol w:w="2377"/>
    </w:tblGrid>
    <w:tr w:rsidR="00AF4554">
      <w:tc>
        <w:tcPr>
          <w:tcW w:w="10640" w:type="dxa"/>
          <w:tcBorders>
            <w:bottom w:val="single" w:sz="1" w:space="0" w:color="89183E"/>
          </w:tcBorders>
          <w:vAlign w:val="bottom"/>
        </w:tcPr>
        <w:p w:rsidR="00AF4554" w:rsidRDefault="00A3045A">
          <w:r>
            <w:rPr>
              <w:noProof/>
            </w:rPr>
            <w:drawing>
              <wp:inline distT="0" distB="0" distL="0" distR="0">
                <wp:extent cx="2000250" cy="285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285750"/>
                        </a:xfrm>
                        <a:prstGeom prst="rect">
                          <a:avLst/>
                        </a:prstGeom>
                        <a:noFill/>
                        <a:ln>
                          <a:noFill/>
                        </a:ln>
                      </pic:spPr>
                    </pic:pic>
                  </a:graphicData>
                </a:graphic>
              </wp:inline>
            </w:drawing>
          </w:r>
        </w:p>
      </w:tc>
      <w:tc>
        <w:tcPr>
          <w:tcW w:w="3600" w:type="dxa"/>
          <w:tcBorders>
            <w:bottom w:val="single" w:sz="1" w:space="0" w:color="89183E"/>
          </w:tcBorders>
          <w:vAlign w:val="bottom"/>
        </w:tcPr>
        <w:p w:rsidR="00AF4554" w:rsidRDefault="00AF4554">
          <w:pPr>
            <w:jc w:val="right"/>
          </w:pPr>
        </w:p>
      </w:tc>
    </w:tr>
    <w:tr w:rsidR="00AF4554">
      <w:trPr>
        <w:gridAfter w:val="1"/>
        <w:wAfter w:w="360" w:type="dxa"/>
      </w:trPr>
      <w:tc>
        <w:tcPr>
          <w:tcW w:w="10640" w:type="dxa"/>
        </w:tcPr>
        <w:p w:rsidR="00AF4554" w:rsidRDefault="00AF4554"/>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554" w:rsidRDefault="00AF45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54"/>
    <w:rsid w:val="00A1107A"/>
    <w:rsid w:val="00A3045A"/>
    <w:rsid w:val="00AF45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C44C9BB-2338-49FA-8055-93572487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pPr>
      <w:outlineLvl w:val="0"/>
    </w:pPr>
    <w:rPr>
      <w:b/>
      <w:color w:val="89183E"/>
      <w:sz w:val="40"/>
      <w:szCs w:val="40"/>
    </w:rPr>
  </w:style>
  <w:style w:type="paragraph" w:styleId="Heading2">
    <w:name w:val="heading 2"/>
    <w:pPr>
      <w:outlineLvl w:val="1"/>
    </w:pPr>
    <w:rPr>
      <w:b/>
      <w:color w:val="89183E"/>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rPr>
      <w:b/>
      <w:color w:val="89183E"/>
      <w:sz w:val="40"/>
      <w:szCs w:val="40"/>
    </w:rPr>
  </w:style>
  <w:style w:type="character" w:customStyle="1" w:styleId="Style2">
    <w:name w:val="Style2"/>
    <w:rPr>
      <w:b/>
      <w:color w:val="333333"/>
      <w:sz w:val="22"/>
      <w:szCs w:val="22"/>
    </w:rPr>
  </w:style>
  <w:style w:type="character" w:customStyle="1" w:styleId="Style3">
    <w:name w:val="Style3"/>
    <w:rPr>
      <w:color w:val="333333"/>
      <w:sz w:val="22"/>
      <w:szCs w:val="2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vt:lpstr>
    </vt:vector>
  </TitlesOfParts>
  <Company>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Admin</dc:creator>
  <cp:keywords/>
  <dc:description/>
  <cp:lastModifiedBy>Admin</cp:lastModifiedBy>
  <cp:revision>2</cp:revision>
  <dcterms:created xsi:type="dcterms:W3CDTF">2013-06-04T17:08:00Z</dcterms:created>
  <dcterms:modified xsi:type="dcterms:W3CDTF">2013-06-04T17:08:00Z</dcterms:modified>
  <cp:category/>
  <cp:contentStatus/>
  <cp:version>0</cp:version>
</cp:coreProperties>
</file>